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C7" w:rsidRDefault="009829C7" w:rsidP="00A26ADB">
      <w:pPr>
        <w:tabs>
          <w:tab w:val="left" w:pos="-1701"/>
        </w:tabs>
        <w:spacing w:after="120" w:line="240" w:lineRule="auto"/>
        <w:ind w:left="360" w:right="-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6ADB" w:rsidRPr="00A26ADB" w:rsidRDefault="00A26ADB" w:rsidP="00A26ADB">
      <w:pPr>
        <w:tabs>
          <w:tab w:val="left" w:pos="-1701"/>
        </w:tabs>
        <w:spacing w:after="120" w:line="240" w:lineRule="auto"/>
        <w:ind w:left="360" w:right="-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26ADB">
        <w:rPr>
          <w:rFonts w:ascii="Times New Roman" w:eastAsia="Times New Roman" w:hAnsi="Times New Roman" w:cs="Times New Roman"/>
          <w:b/>
          <w:sz w:val="24"/>
          <w:szCs w:val="24"/>
        </w:rPr>
        <w:t>МЕТОДИКА ЗА ОЦЕНКА НА ОФЕРТИТЕ</w:t>
      </w:r>
    </w:p>
    <w:p w:rsidR="00A26ADB" w:rsidRPr="00A26ADB" w:rsidRDefault="00A26ADB" w:rsidP="00A26ADB">
      <w:pPr>
        <w:spacing w:after="60" w:line="240" w:lineRule="auto"/>
        <w:ind w:right="2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6ADB" w:rsidRPr="00A26ADB" w:rsidRDefault="00A26ADB" w:rsidP="00A26ADB">
      <w:pPr>
        <w:spacing w:after="60" w:line="240" w:lineRule="auto"/>
        <w:ind w:right="23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6A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ТОЧНИ УКАЗАНИЯ ЗА ОПРЕДЕЛЯНЕ НА ОЦЕНКАТА ПО ВСЕКИ ОТ ПОКАЗАТЕЛИТЕ НА КОМПЛЕКСНАТА ОЦЕНКА НА ОФЕРТИТЕ</w:t>
      </w:r>
    </w:p>
    <w:p w:rsidR="00F37E38" w:rsidRPr="00F37E38" w:rsidRDefault="00A26ADB" w:rsidP="00F37E38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26AD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поръчка с предмет</w:t>
      </w:r>
      <w:r w:rsidR="00F37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F37E38" w:rsidRPr="00F37E38">
        <w:rPr>
          <w:rFonts w:ascii="Times New Roman" w:eastAsia="Calibri" w:hAnsi="Times New Roman" w:cs="Times New Roman"/>
          <w:sz w:val="24"/>
        </w:rPr>
        <w:t xml:space="preserve">„ </w:t>
      </w:r>
      <w:r w:rsidR="00F37E38" w:rsidRPr="00183798">
        <w:rPr>
          <w:rFonts w:ascii="Times New Roman" w:eastAsia="Calibri" w:hAnsi="Times New Roman" w:cs="Times New Roman"/>
          <w:b/>
          <w:sz w:val="24"/>
          <w:lang w:val="en-US"/>
        </w:rPr>
        <w:t>Поддържане на зелени площи, междублокови пространства и благоустройствени дейности на територията на СО - район "Илинден".</w:t>
      </w:r>
    </w:p>
    <w:p w:rsidR="00A26ADB" w:rsidRPr="00A26ADB" w:rsidRDefault="00A26ADB" w:rsidP="00F37E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6ADB" w:rsidRPr="00A26ADB" w:rsidRDefault="00A26ADB" w:rsidP="00D576E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DB">
        <w:rPr>
          <w:rFonts w:ascii="Times New Roman" w:eastAsia="Times New Roman" w:hAnsi="Times New Roman" w:cs="Times New Roman"/>
          <w:sz w:val="24"/>
          <w:szCs w:val="24"/>
        </w:rPr>
        <w:t xml:space="preserve">Оценяването и класирането на офертите се извършва по критерия „Икономически най-изгодна оферта” съгласно чл. 70, ал. 2 т. 3 от ЗОП. Чрез настоящите показатели за оценка се осигурява определяне на офертата, която предлага най-добро съотношение качество-цена. </w:t>
      </w:r>
    </w:p>
    <w:p w:rsidR="00A26ADB" w:rsidRPr="00A26ADB" w:rsidRDefault="00A26ADB" w:rsidP="00A26A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DB" w:rsidRPr="00A26ADB" w:rsidRDefault="00A26ADB" w:rsidP="00A26ADB">
      <w:pPr>
        <w:tabs>
          <w:tab w:val="left" w:pos="-1701"/>
        </w:tabs>
        <w:spacing w:after="120" w:line="240" w:lineRule="auto"/>
        <w:ind w:right="-51" w:firstLine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DB">
        <w:rPr>
          <w:rFonts w:ascii="Times New Roman" w:eastAsia="Times New Roman" w:hAnsi="Times New Roman" w:cs="Times New Roman"/>
          <w:sz w:val="24"/>
          <w:szCs w:val="24"/>
        </w:rPr>
        <w:t xml:space="preserve">Настоящата методика е изготвена в съответствие с разпоредбите на чл. 70 , ал. 7 от ЗОП, като чрез утвърдените показателите се оценява качеството на техническото предложение на всеки от участниците, с оглед постигане на оптимален резултат при провеждане на мониторинг на мерките за енергийната ефективност след тяхното изпълнение. </w:t>
      </w:r>
    </w:p>
    <w:p w:rsidR="00A26ADB" w:rsidRPr="00A26ADB" w:rsidRDefault="00A26ADB" w:rsidP="00A26ADB">
      <w:pPr>
        <w:tabs>
          <w:tab w:val="left" w:pos="1276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2C02A0" w:rsidRPr="00A94CB9" w:rsidRDefault="002C02A0" w:rsidP="002C02A0">
      <w:pPr>
        <w:spacing w:before="60"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/>
        </w:rPr>
      </w:pPr>
      <w:r w:rsidRPr="00A94CB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!!! На оценка подлежат </w:t>
      </w:r>
      <w:r w:rsidRPr="00A94C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>единствено</w:t>
      </w:r>
      <w:r w:rsidRPr="00A94CB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предложения, които отговарят на минималните изисквания, поставени от Възложителя към съдържанието на отделните части на предложението за изпълнение на поръчката, на другите изисквания на Възложителя, посочени в документацията за участие, на Техническата спецификация, на действащото законодателство, съществуващите технически изисквания и стандарти и са съобразени с предмета на поръчката, </w:t>
      </w:r>
      <w:r w:rsidRPr="00A94C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като всяко едно от така изброените изисквания </w:t>
      </w:r>
      <w:r w:rsidRPr="00A94CB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/>
        </w:rPr>
        <w:t>следва да се разбира като „предварително обявени условия на поръчката“ по смисъла на чл. 107, т. 2, буква „а“ от ЗОП.</w:t>
      </w:r>
    </w:p>
    <w:p w:rsidR="002C02A0" w:rsidRPr="00A94CB9" w:rsidRDefault="002C02A0" w:rsidP="002C02A0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02A0" w:rsidRPr="00A94CB9" w:rsidRDefault="002C02A0" w:rsidP="002C02A0">
      <w:pPr>
        <w:spacing w:before="60"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4CB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Предвид посочените изисквания, </w:t>
      </w:r>
      <w:r w:rsidRPr="00A94C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>преди да премине към оценка на показателите за качество</w:t>
      </w:r>
      <w:r w:rsidRPr="00A94CB9">
        <w:rPr>
          <w:rFonts w:ascii="Times New Roman" w:eastAsia="Times New Roman" w:hAnsi="Times New Roman" w:cs="Times New Roman"/>
          <w:sz w:val="24"/>
          <w:szCs w:val="24"/>
          <w:lang w:val="en-GB"/>
        </w:rPr>
        <w:t>, Комисията, назначена да проведе процедурата проверява дали техническите предложения отговарят на гореизброените изисквания и дали обезпечават качественото изпълнение на поръчката, отчитайки спецификите й.</w:t>
      </w:r>
    </w:p>
    <w:p w:rsidR="002C02A0" w:rsidRPr="00A94CB9" w:rsidRDefault="002C02A0" w:rsidP="002C02A0">
      <w:pPr>
        <w:spacing w:before="60"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4CB9">
        <w:rPr>
          <w:rFonts w:ascii="Times New Roman" w:eastAsia="Times New Roman" w:hAnsi="Times New Roman" w:cs="Times New Roman"/>
          <w:sz w:val="24"/>
          <w:szCs w:val="24"/>
          <w:lang w:val="en-GB"/>
        </w:rPr>
        <w:t>На този етап, на основание чл. 107 от ЗОП, от участие се отстраняват офертите на Участниците, които:</w:t>
      </w:r>
    </w:p>
    <w:p w:rsidR="002C02A0" w:rsidRPr="00A94CB9" w:rsidRDefault="002C02A0" w:rsidP="00CE7C90">
      <w:pPr>
        <w:widowControl w:val="0"/>
        <w:numPr>
          <w:ilvl w:val="0"/>
          <w:numId w:val="1"/>
        </w:numPr>
        <w:tabs>
          <w:tab w:val="left" w:pos="810"/>
        </w:tabs>
        <w:suppressAutoHyphens/>
        <w:spacing w:before="60" w:after="0" w:line="240" w:lineRule="auto"/>
        <w:ind w:right="1" w:hanging="15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4CB9">
        <w:rPr>
          <w:rFonts w:ascii="Times New Roman" w:eastAsia="Times New Roman" w:hAnsi="Times New Roman" w:cs="Times New Roman"/>
          <w:sz w:val="24"/>
          <w:szCs w:val="24"/>
          <w:lang w:val="en-GB"/>
        </w:rPr>
        <w:t>не отговарят на изискванията на Възложителя, залегнали в Техническата спецификация и изискванията за оформяне на Техническото предложение.</w:t>
      </w:r>
    </w:p>
    <w:p w:rsidR="002C02A0" w:rsidRPr="00A94CB9" w:rsidRDefault="002C02A0" w:rsidP="00CE7C90">
      <w:pPr>
        <w:widowControl w:val="0"/>
        <w:numPr>
          <w:ilvl w:val="0"/>
          <w:numId w:val="1"/>
        </w:numPr>
        <w:tabs>
          <w:tab w:val="left" w:pos="810"/>
        </w:tabs>
        <w:suppressAutoHyphens/>
        <w:spacing w:before="60" w:after="0" w:line="240" w:lineRule="auto"/>
        <w:ind w:right="1" w:hanging="15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4CB9">
        <w:rPr>
          <w:rFonts w:ascii="Times New Roman" w:eastAsia="Times New Roman" w:hAnsi="Times New Roman" w:cs="Times New Roman"/>
          <w:sz w:val="24"/>
          <w:szCs w:val="24"/>
          <w:lang w:val="en-GB"/>
        </w:rPr>
        <w:t>съдържат в себе си записи, от които може да се заключи, че не обезпечават качественото и срочно изпълнение на поръчката, изразяващи се в: </w:t>
      </w:r>
    </w:p>
    <w:p w:rsidR="002C02A0" w:rsidRPr="00A94CB9" w:rsidRDefault="002C02A0" w:rsidP="00CE7C90">
      <w:pPr>
        <w:tabs>
          <w:tab w:val="left" w:pos="810"/>
        </w:tabs>
        <w:spacing w:before="60"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4CB9">
        <w:rPr>
          <w:rFonts w:ascii="Times New Roman" w:eastAsia="Times New Roman" w:hAnsi="Times New Roman" w:cs="Times New Roman"/>
          <w:sz w:val="24"/>
          <w:szCs w:val="24"/>
          <w:lang w:val="en-GB"/>
        </w:rPr>
        <w:t>- краен резултат, различен от целения с настоящата процедура;</w:t>
      </w:r>
    </w:p>
    <w:p w:rsidR="002C02A0" w:rsidRPr="00A94CB9" w:rsidRDefault="002C02A0" w:rsidP="00CE7C90">
      <w:pPr>
        <w:tabs>
          <w:tab w:val="left" w:pos="810"/>
        </w:tabs>
        <w:spacing w:before="60" w:after="0" w:line="240" w:lineRule="auto"/>
        <w:ind w:left="851" w:right="1" w:hanging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4CB9">
        <w:rPr>
          <w:rFonts w:ascii="Times New Roman" w:eastAsia="Times New Roman" w:hAnsi="Times New Roman" w:cs="Times New Roman"/>
          <w:sz w:val="24"/>
          <w:szCs w:val="24"/>
          <w:lang w:val="en-GB"/>
        </w:rPr>
        <w:t>- непълен и/или неправилно формулиран и изведен краен резултат от изпълнение нa дейностите по поръчката, в противоречие с изискванията на Възложителя;</w:t>
      </w:r>
    </w:p>
    <w:p w:rsidR="002C02A0" w:rsidRPr="00A94CB9" w:rsidRDefault="002C02A0" w:rsidP="00CE7C90">
      <w:pPr>
        <w:tabs>
          <w:tab w:val="left" w:pos="810"/>
        </w:tabs>
        <w:spacing w:before="60" w:after="0" w:line="240" w:lineRule="auto"/>
        <w:ind w:left="851" w:right="1" w:hanging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4CB9">
        <w:rPr>
          <w:rFonts w:ascii="Times New Roman" w:eastAsia="Times New Roman" w:hAnsi="Times New Roman" w:cs="Times New Roman"/>
          <w:sz w:val="24"/>
          <w:szCs w:val="24"/>
          <w:lang w:val="en-GB"/>
        </w:rPr>
        <w:t>- посочване на дейности и/или методи, които си противоречат и при прилагането би било невъзможно постигането на крайния резултат;</w:t>
      </w:r>
    </w:p>
    <w:p w:rsidR="002C02A0" w:rsidRPr="00A94CB9" w:rsidRDefault="002C02A0" w:rsidP="002C02A0">
      <w:pPr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C02A0" w:rsidRPr="00A94CB9" w:rsidRDefault="002C02A0" w:rsidP="0032153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CB9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 xml:space="preserve">Оценяването и класирането на офертите на участниците се извършва въз основа на </w:t>
      </w:r>
      <w:r w:rsidRPr="00A94CB9">
        <w:rPr>
          <w:rFonts w:ascii="Times New Roman" w:eastAsia="Arial Unicode MS" w:hAnsi="Times New Roman" w:cs="Times New Roman"/>
          <w:b/>
          <w:bCs/>
          <w:sz w:val="24"/>
          <w:szCs w:val="24"/>
        </w:rPr>
        <w:t>„Икономически най-изгодна оферта”.</w:t>
      </w:r>
      <w:r w:rsidRPr="00A94CB9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A94CB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Икономически най-изгодната оферта се определя въз основа на критерий за възлагане „</w:t>
      </w:r>
      <w:r w:rsidRPr="00A94C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оптимално съотношение качество/цена</w:t>
      </w:r>
      <w:r w:rsidRPr="00A94CB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“ по чл. 70, ал. 2, т. 3 от ЗОП</w:t>
      </w:r>
      <w:r w:rsidRPr="00A94C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4CB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94C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94CB9">
        <w:rPr>
          <w:rFonts w:ascii="Times New Roman" w:eastAsia="Calibri" w:hAnsi="Times New Roman" w:cs="Times New Roman"/>
          <w:sz w:val="24"/>
          <w:szCs w:val="24"/>
        </w:rPr>
        <w:t>съдържа следните показатели:</w:t>
      </w:r>
    </w:p>
    <w:p w:rsidR="002C02A0" w:rsidRPr="00321539" w:rsidRDefault="002C02A0" w:rsidP="002C02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15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Показател 1</w:t>
      </w:r>
      <w:r w:rsidRPr="003215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2153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D576E3" w:rsidRPr="003215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„Предлагана цена” </w:t>
      </w: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(П</w:t>
      </w: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) </w:t>
      </w: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 тежест 40 точки</w:t>
      </w:r>
    </w:p>
    <w:p w:rsidR="002C02A0" w:rsidRPr="00321539" w:rsidRDefault="002C02A0" w:rsidP="002C02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Показател 2</w:t>
      </w: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„</w:t>
      </w:r>
      <w:r w:rsidRPr="0032153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Характеристики, свързани с опазване на околната среда по време на изпълнението на предмета на договора</w:t>
      </w: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“ (П2)</w:t>
      </w:r>
      <w:r w:rsidRPr="00321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 тежест 30 точки</w:t>
      </w:r>
    </w:p>
    <w:p w:rsidR="002C02A0" w:rsidRPr="00321539" w:rsidRDefault="002C02A0" w:rsidP="002C02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Показател </w:t>
      </w: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3 </w:t>
      </w: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„Технология за изпълнение на дейностите включени в предмета на поръчката” (П3)</w:t>
      </w:r>
      <w:r w:rsidRPr="003215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321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2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 тежест 30 точки</w:t>
      </w:r>
    </w:p>
    <w:p w:rsidR="002C02A0" w:rsidRPr="00321539" w:rsidRDefault="002C02A0" w:rsidP="002C02A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C02A0" w:rsidRPr="00321539" w:rsidRDefault="002C02A0" w:rsidP="002C02A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6E3" w:rsidRPr="00321539" w:rsidRDefault="002C02A0" w:rsidP="002C02A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15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Методика за комплексна оценка на офертите</w:t>
      </w:r>
      <w:r w:rsidR="00D576E3" w:rsidRPr="003215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2C02A0" w:rsidRPr="00321539" w:rsidRDefault="002C02A0" w:rsidP="00D576E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прилагането на методиката за оценка се цели да бъде избрана оферта, която в най-голяма степен отговаря на изискванията на възложителя и предлага оптимално съотношение качество/цена. </w:t>
      </w:r>
    </w:p>
    <w:p w:rsidR="002C02A0" w:rsidRPr="001F05DA" w:rsidRDefault="002C02A0" w:rsidP="002C0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F05DA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Комплексната оценка на офертата на всеки от участниците се определя като сума на оценките по отделните показатели </w:t>
      </w:r>
      <w:r w:rsidRPr="001F05D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Комплексната оценка (KO)</w:t>
      </w:r>
      <w:r w:rsidRPr="001F05DA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=</w:t>
      </w:r>
      <w:r w:rsidRPr="001F05DA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Показател 1</w:t>
      </w:r>
      <w:r w:rsidRPr="001F05DA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“</w:t>
      </w:r>
      <w:r w:rsidRPr="001F05D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Предлагана цена” (П</w:t>
      </w:r>
      <w:r w:rsidRPr="001F0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1</w:t>
      </w:r>
      <w:r w:rsidRPr="001F05D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) + Показател 2 </w:t>
      </w:r>
      <w:r w:rsidRPr="001F0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„</w:t>
      </w:r>
      <w:r w:rsidRPr="001F05DA">
        <w:rPr>
          <w:rFonts w:ascii="Times New Roman" w:hAnsi="Times New Roman"/>
          <w:b/>
          <w:bCs/>
          <w:sz w:val="24"/>
          <w:szCs w:val="24"/>
          <w:lang w:eastAsia="bg-BG"/>
        </w:rPr>
        <w:t>Характеристики, свързани с опазване на околната среда по време на изпълнението на предмета на договора</w:t>
      </w:r>
      <w:r w:rsidRPr="001F0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“ (П2)</w:t>
      </w:r>
      <w:r w:rsidRPr="001F05D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1F05D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+ Показател 3 - </w:t>
      </w:r>
      <w:r w:rsidRPr="001F0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„Технология за изпълнение на дейностите включени в предмета на поръчката” (П3)</w:t>
      </w:r>
      <w:r w:rsidRPr="001F05DA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. Максималната обща оценка е 100 точки.</w:t>
      </w:r>
    </w:p>
    <w:p w:rsidR="002C02A0" w:rsidRPr="001F05DA" w:rsidRDefault="002C02A0" w:rsidP="002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C02A0" w:rsidRPr="00902F92" w:rsidRDefault="002C02A0" w:rsidP="002C0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05DA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1F05DA">
        <w:rPr>
          <w:rFonts w:ascii="Times New Roman" w:hAnsi="Times New Roman"/>
          <w:color w:val="000000"/>
          <w:sz w:val="24"/>
          <w:szCs w:val="24"/>
          <w:lang w:val="en-US"/>
        </w:rPr>
        <w:t>Показатели за оценка на предложенията и начина на определяне на тежестта им в комплексната оценка:</w:t>
      </w:r>
      <w:r w:rsidRPr="00902F9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2C02A0" w:rsidRPr="00902F92" w:rsidRDefault="002C02A0" w:rsidP="002C0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02A0" w:rsidRPr="00063C08" w:rsidRDefault="002C02A0" w:rsidP="002C02A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02F9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Показател 1</w:t>
      </w:r>
      <w:r w:rsidRPr="00902F92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- </w:t>
      </w:r>
      <w:r w:rsidRPr="00902F92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„Предлагана цена”</w:t>
      </w:r>
      <w:r w:rsidRPr="00902F92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(П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</w:t>
      </w:r>
      <w:r w:rsidRPr="00902F92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)</w:t>
      </w:r>
      <w:r w:rsidRPr="00902F9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902F92">
        <w:rPr>
          <w:rFonts w:ascii="Times New Roman" w:hAnsi="Times New Roman"/>
          <w:color w:val="000000"/>
          <w:sz w:val="24"/>
          <w:szCs w:val="24"/>
          <w:lang w:val="en-US"/>
        </w:rPr>
        <w:t xml:space="preserve">е показател, отразяващ тежестта на </w:t>
      </w:r>
      <w:r w:rsidRPr="00902F92">
        <w:rPr>
          <w:rFonts w:ascii="Times New Roman" w:hAnsi="Times New Roman"/>
          <w:b/>
          <w:color w:val="000000"/>
          <w:sz w:val="24"/>
          <w:szCs w:val="24"/>
          <w:lang w:val="en-US"/>
        </w:rPr>
        <w:t>Предлагана</w:t>
      </w:r>
      <w:r>
        <w:rPr>
          <w:rFonts w:ascii="Times New Roman" w:hAnsi="Times New Roman"/>
          <w:b/>
          <w:color w:val="000000"/>
          <w:sz w:val="24"/>
          <w:szCs w:val="24"/>
        </w:rPr>
        <w:t>та</w:t>
      </w:r>
      <w:r w:rsidRPr="00902F9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цена</w:t>
      </w:r>
      <w:r w:rsidRPr="00902F92">
        <w:rPr>
          <w:rFonts w:ascii="Times New Roman" w:hAnsi="Times New Roman"/>
          <w:color w:val="000000"/>
          <w:sz w:val="24"/>
          <w:szCs w:val="24"/>
          <w:lang w:val="en-US"/>
        </w:rPr>
        <w:t xml:space="preserve"> от участника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 - тежест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4</w:t>
      </w:r>
      <w:r w:rsidRPr="00902F9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0 точки</w:t>
      </w:r>
      <w:r w:rsidRPr="00902F92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</w:p>
    <w:p w:rsidR="002C02A0" w:rsidRPr="00902F92" w:rsidRDefault="002C02A0" w:rsidP="00B56440">
      <w:pPr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65ADC">
        <w:rPr>
          <w:rFonts w:ascii="Times New Roman" w:hAnsi="Times New Roman"/>
          <w:color w:val="000000"/>
          <w:sz w:val="24"/>
          <w:szCs w:val="24"/>
          <w:lang w:val="en-US"/>
        </w:rPr>
        <w:t>Оценката по този показател се формира</w:t>
      </w:r>
      <w:r w:rsidRPr="00A65AD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като най-ниската обща предложена цена от сбора на предложените единични цени за видовете дейности, включени в предмета на поръчката, без включен ДДС от участник, допуснат до оценяване, се разделя на общата цена без включен ДДС, предложена от съответния участник, който се оценява и резултатът се умножава по 40 точки.</w:t>
      </w:r>
    </w:p>
    <w:p w:rsidR="002C02A0" w:rsidRPr="006526B6" w:rsidRDefault="002C02A0" w:rsidP="002C02A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26B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Показател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6526B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2 - </w:t>
      </w:r>
      <w:r w:rsidRPr="00652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„</w:t>
      </w:r>
      <w:r w:rsidRPr="006526B6">
        <w:rPr>
          <w:rFonts w:ascii="Times New Roman" w:hAnsi="Times New Roman"/>
          <w:b/>
          <w:bCs/>
          <w:sz w:val="24"/>
          <w:szCs w:val="24"/>
          <w:lang w:eastAsia="bg-BG"/>
        </w:rPr>
        <w:t>Характеристики, свързани с опазване на околната среда по време на изпълнението на предмета на договора</w:t>
      </w:r>
      <w:r w:rsidRPr="00652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“ (П2)</w:t>
      </w:r>
      <w:r w:rsidRPr="006526B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Pr="006526B6">
        <w:rPr>
          <w:rFonts w:ascii="Times New Roman" w:hAnsi="Times New Roman"/>
          <w:color w:val="000000"/>
          <w:sz w:val="24"/>
          <w:szCs w:val="24"/>
          <w:lang w:val="en-US"/>
        </w:rPr>
        <w:t>е показател, о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тразяващ тежестта на предложени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 w:rsidRPr="006526B6">
        <w:rPr>
          <w:rFonts w:ascii="Times New Roman" w:hAnsi="Times New Roman"/>
          <w:color w:val="000000"/>
          <w:sz w:val="24"/>
          <w:szCs w:val="24"/>
          <w:lang w:val="en-US"/>
        </w:rPr>
        <w:t xml:space="preserve"> от участника </w:t>
      </w:r>
      <w:r w:rsidRPr="006526B6">
        <w:rPr>
          <w:rFonts w:ascii="Times New Roman" w:hAnsi="Times New Roman"/>
          <w:b/>
          <w:bCs/>
          <w:sz w:val="24"/>
          <w:szCs w:val="24"/>
          <w:lang w:eastAsia="bg-BG"/>
        </w:rPr>
        <w:t>Характеристики, свързани с опазване на околната среда по време на изпълнението на предмета на договора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6526B6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6526B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тежест 30 точки</w:t>
      </w:r>
    </w:p>
    <w:p w:rsidR="002C02A0" w:rsidRPr="006526B6" w:rsidRDefault="002C02A0" w:rsidP="002C02A0">
      <w:pPr>
        <w:spacing w:before="60" w:after="6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526B6">
        <w:rPr>
          <w:rFonts w:ascii="Times New Roman" w:hAnsi="Times New Roman"/>
          <w:color w:val="000000"/>
          <w:sz w:val="24"/>
          <w:szCs w:val="24"/>
          <w:lang w:eastAsia="bg-BG"/>
        </w:rPr>
        <w:t>Оценката по този показател се извършва като мотивирана оценка на комисията, с прилагане на оценителната скала, с максимална оценка 30 точки.</w:t>
      </w:r>
    </w:p>
    <w:p w:rsidR="002C02A0" w:rsidRPr="006526B6" w:rsidRDefault="002C02A0" w:rsidP="002C02A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 xml:space="preserve">Точките по елементите на показателя „Характеристики, свързани с опазване на околната среда по време на изпълнението на предмета на договора“ </w:t>
      </w:r>
      <w:r w:rsidRPr="006526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ще бъдат присъждани от </w:t>
      </w: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>оценителна комисия, назначена от Възложителя по експертна мотивирана оценка, на съдържанието в Приложение – „Мерки, свързани с опазване на околната среда по време на изпълнението на предмета на договора”.</w:t>
      </w:r>
    </w:p>
    <w:p w:rsidR="002C02A0" w:rsidRPr="006526B6" w:rsidRDefault="002C02A0" w:rsidP="00D576E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>Всяко предложение следва да съдържа мерки, свързани с опазване на околната среда, засягащи възможните вредни проявления на дейностите по изпълнение на предмета на поръчката, върху всички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компонентни на околната среда.</w:t>
      </w: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 xml:space="preserve"> Всеки участник следва да определи възможните негативни влияния върху отделните компоненти на околната среда, породени от емисии на вредни газове, прах, шум, засягане на растителност попадаща в обхвата на територията на района и извън нея, вредно въздействие върху птици и</w:t>
      </w:r>
      <w:r w:rsidRPr="006526B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 xml:space="preserve">животни, вредно въздействие върху почвата /аварийни разливи на масла, горива и др./, генериране на строителни отпадъци, генериране на битови отпадъци и др., като идентифицира сферата на негативното влияние и предложи мерки за преодоляването му. Мерките следва да са описани  подробно и конкретно, да е предложен план за организация по изпълнението им, както и посочване на ресурсите които ще се използват. </w:t>
      </w:r>
    </w:p>
    <w:p w:rsidR="002C02A0" w:rsidRPr="006526B6" w:rsidRDefault="002C02A0" w:rsidP="00D576E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 xml:space="preserve">Конкретни мерки за опазване на околната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природната </w:t>
      </w: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 xml:space="preserve">среда могат да бъдат: </w:t>
      </w:r>
    </w:p>
    <w:p w:rsidR="002C02A0" w:rsidRPr="006526B6" w:rsidRDefault="002C02A0" w:rsidP="002C02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 xml:space="preserve">• превантивни природозащитни мерки; </w:t>
      </w:r>
    </w:p>
    <w:p w:rsidR="002C02A0" w:rsidRPr="006526B6" w:rsidRDefault="002C02A0" w:rsidP="002C02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 xml:space="preserve">• инструктажи; </w:t>
      </w:r>
    </w:p>
    <w:p w:rsidR="002C02A0" w:rsidRPr="006526B6" w:rsidRDefault="002C02A0" w:rsidP="002C02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 xml:space="preserve">• почистване; </w:t>
      </w:r>
    </w:p>
    <w:p w:rsidR="002C02A0" w:rsidRPr="006526B6" w:rsidRDefault="002C02A0" w:rsidP="002C02A0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>• ограничаване на шума от извършваните дейности;</w:t>
      </w:r>
    </w:p>
    <w:p w:rsidR="002C02A0" w:rsidRPr="006526B6" w:rsidRDefault="002C02A0" w:rsidP="002C02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>• забрана за изхвърляне на вредни вещества;</w:t>
      </w:r>
    </w:p>
    <w:p w:rsidR="002C02A0" w:rsidRPr="006526B6" w:rsidRDefault="002C02A0" w:rsidP="00D576E3">
      <w:pPr>
        <w:spacing w:after="0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 xml:space="preserve">• мерки за опазване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качеството на атмосферния въздух при работа на МПС /</w:t>
      </w: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>ефективно използване на наличната механизация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2C02A0" w:rsidRPr="006526B6" w:rsidRDefault="002C02A0" w:rsidP="002C02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 xml:space="preserve">• ограничаване на въздействието върху птиците и животните в района; </w:t>
      </w:r>
    </w:p>
    <w:p w:rsidR="002C02A0" w:rsidRPr="006526B6" w:rsidRDefault="002C02A0" w:rsidP="002C02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>• ограничаване на въздействието върху растителността, попадаща в обхвата на района;</w:t>
      </w:r>
    </w:p>
    <w:p w:rsidR="002C02A0" w:rsidRDefault="002C02A0" w:rsidP="002C02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>• депониране на строителните отпадъци само на регламентирани депа.</w:t>
      </w:r>
    </w:p>
    <w:p w:rsidR="002C02A0" w:rsidRPr="006526B6" w:rsidRDefault="002C02A0" w:rsidP="002C02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02A0" w:rsidRPr="006526B6" w:rsidRDefault="002C02A0" w:rsidP="002914E4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26B6">
        <w:rPr>
          <w:rFonts w:ascii="Times New Roman" w:hAnsi="Times New Roman"/>
          <w:color w:val="000000"/>
          <w:sz w:val="24"/>
          <w:szCs w:val="24"/>
        </w:rPr>
        <w:t>Оценката по горепосочения показател се извършва съгласно следните критерии за постигната степен на съответствие с изискванията на възложителя: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1827"/>
      </w:tblGrid>
      <w:tr w:rsidR="002C02A0" w:rsidRPr="006526B6" w:rsidTr="00E00514">
        <w:tc>
          <w:tcPr>
            <w:tcW w:w="7513" w:type="dxa"/>
          </w:tcPr>
          <w:p w:rsidR="002C02A0" w:rsidRPr="006526B6" w:rsidRDefault="002C02A0" w:rsidP="00E0051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26B6">
              <w:rPr>
                <w:rFonts w:ascii="Times New Roman" w:hAnsi="Times New Roman"/>
                <w:b/>
                <w:sz w:val="24"/>
                <w:szCs w:val="24"/>
              </w:rPr>
              <w:t>Показател</w:t>
            </w:r>
            <w:r w:rsidR="00D576E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6526B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526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„Характеристики, свързани с опазване на околната среда по време на изпълнението на предмета на договора“</w:t>
            </w:r>
          </w:p>
        </w:tc>
        <w:tc>
          <w:tcPr>
            <w:tcW w:w="1835" w:type="dxa"/>
          </w:tcPr>
          <w:p w:rsidR="002C02A0" w:rsidRPr="006526B6" w:rsidRDefault="002C02A0" w:rsidP="00E005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6B6">
              <w:rPr>
                <w:rFonts w:ascii="Times New Roman" w:hAnsi="Times New Roman"/>
                <w:b/>
                <w:sz w:val="24"/>
                <w:szCs w:val="24"/>
              </w:rPr>
              <w:t>Oценка</w:t>
            </w:r>
          </w:p>
          <w:p w:rsidR="002C02A0" w:rsidRPr="006526B6" w:rsidRDefault="002C02A0" w:rsidP="00E005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26B6">
              <w:rPr>
                <w:rFonts w:ascii="Times New Roman" w:hAnsi="Times New Roman"/>
                <w:b/>
                <w:sz w:val="24"/>
                <w:szCs w:val="24"/>
              </w:rPr>
              <w:t xml:space="preserve">      (Точки)</w:t>
            </w:r>
          </w:p>
        </w:tc>
      </w:tr>
      <w:tr w:rsidR="002C02A0" w:rsidRPr="006526B6" w:rsidTr="00E00514">
        <w:tc>
          <w:tcPr>
            <w:tcW w:w="7513" w:type="dxa"/>
          </w:tcPr>
          <w:p w:rsidR="002C02A0" w:rsidRPr="006526B6" w:rsidRDefault="002C02A0" w:rsidP="00E005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2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Участникът е предложил минимум пет конкретни и относими/адекватни спрямо предмета на поръчката мерки/мероприятия за максимално намаляване на вредното влияние върху отделните компоненти на околната среда. Участникът е изложил ясно и конкретно като е описал мерките, предложил е план за организация по изпълнението им, и е посочил ресурсите които ще се използват. </w:t>
            </w:r>
          </w:p>
        </w:tc>
        <w:tc>
          <w:tcPr>
            <w:tcW w:w="1835" w:type="dxa"/>
          </w:tcPr>
          <w:p w:rsidR="002C02A0" w:rsidRPr="006526B6" w:rsidRDefault="002C02A0" w:rsidP="00E0051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2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    10</w:t>
            </w:r>
          </w:p>
        </w:tc>
      </w:tr>
      <w:tr w:rsidR="002C02A0" w:rsidRPr="006526B6" w:rsidTr="00E00514">
        <w:tc>
          <w:tcPr>
            <w:tcW w:w="7513" w:type="dxa"/>
          </w:tcPr>
          <w:p w:rsidR="002C02A0" w:rsidRPr="006526B6" w:rsidRDefault="002C02A0" w:rsidP="00E005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Участникът е предложил</w:t>
            </w:r>
            <w:r w:rsidRPr="00652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осем конкретни и относими/адекватни спрямо предмета на поръчката мерки/мероприятия за максимално намаляване на вредното влияние върху отделните компоненти на околната среда. Участникът ясно и конкретно е описал мерките, предложил е план за организация по изпълнение им, и е посочил ресурсите които ще се използват.</w:t>
            </w:r>
          </w:p>
        </w:tc>
        <w:tc>
          <w:tcPr>
            <w:tcW w:w="1835" w:type="dxa"/>
          </w:tcPr>
          <w:p w:rsidR="002C02A0" w:rsidRPr="006526B6" w:rsidRDefault="002C02A0" w:rsidP="00E0051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2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   20</w:t>
            </w:r>
          </w:p>
        </w:tc>
      </w:tr>
      <w:tr w:rsidR="002C02A0" w:rsidRPr="006526B6" w:rsidTr="00E00514">
        <w:tc>
          <w:tcPr>
            <w:tcW w:w="7513" w:type="dxa"/>
          </w:tcPr>
          <w:p w:rsidR="002C02A0" w:rsidRPr="006526B6" w:rsidRDefault="002C02A0" w:rsidP="00E005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2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Участникът е предложил повече от осем конкретни и относими/адекватни спрямо предмета на поръчката мерки/мероприятия за максимално намаляване на вредното влияние върху отделните компоненти на околната среда. Участникът ясно и конкретно е описал мерките, предложил е план за организация по изпълнение им, и е посочил ресурсите които ще се използват.</w:t>
            </w:r>
          </w:p>
        </w:tc>
        <w:tc>
          <w:tcPr>
            <w:tcW w:w="1835" w:type="dxa"/>
          </w:tcPr>
          <w:p w:rsidR="002C02A0" w:rsidRPr="006526B6" w:rsidRDefault="002C02A0" w:rsidP="00E0051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2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   30</w:t>
            </w:r>
          </w:p>
        </w:tc>
      </w:tr>
    </w:tbl>
    <w:p w:rsidR="002C02A0" w:rsidRPr="006526B6" w:rsidRDefault="002C02A0" w:rsidP="002C02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6440" w:rsidRDefault="002C02A0" w:rsidP="00B56440">
      <w:pPr>
        <w:spacing w:before="60" w:after="6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>Предложения, които съдържат по</w:t>
      </w:r>
      <w:r w:rsidR="00D576E3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>малко от пет мерки, свързани с опазване на околната среда или същите не са относими към предмета на поръчката</w:t>
      </w:r>
      <w:r w:rsidR="00D576E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526B6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 отговарят на техническата спецификация, действащото законодателство, съществуващите технически изисквания и стандарти, или ако мерките не са подробни и конкретни, или ако не е предложен план за организация по изпълнението на мерките, или не са посочени ресурсите, които ще се използват, ще бъдат отстранени от участие в процедурата.</w:t>
      </w:r>
    </w:p>
    <w:p w:rsidR="002C02A0" w:rsidRPr="00B56440" w:rsidRDefault="002C02A0" w:rsidP="00B56440">
      <w:pPr>
        <w:pStyle w:val="ListParagraph"/>
        <w:numPr>
          <w:ilvl w:val="0"/>
          <w:numId w:val="5"/>
        </w:numPr>
        <w:spacing w:before="60" w:after="6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64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Показател </w:t>
      </w:r>
      <w:r w:rsidRPr="00B5644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3 </w:t>
      </w:r>
      <w:r w:rsidRPr="00B564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- „Технология за изпълнение на дейностите</w:t>
      </w:r>
      <w:r w:rsidR="00B56440" w:rsidRPr="00B564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,</w:t>
      </w:r>
      <w:r w:rsidRPr="00B564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включени в предмета на поръчката” (П3)</w:t>
      </w:r>
      <w:r w:rsidRPr="00B56440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B5644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B56440">
        <w:rPr>
          <w:rFonts w:ascii="Times New Roman" w:hAnsi="Times New Roman"/>
          <w:color w:val="000000"/>
          <w:sz w:val="24"/>
          <w:szCs w:val="24"/>
          <w:lang w:val="en-US"/>
        </w:rPr>
        <w:t>е показател, отразяващ тежестта на предложен</w:t>
      </w:r>
      <w:r w:rsidRPr="00B56440">
        <w:rPr>
          <w:rFonts w:ascii="Times New Roman" w:hAnsi="Times New Roman"/>
          <w:color w:val="000000"/>
          <w:sz w:val="24"/>
          <w:szCs w:val="24"/>
        </w:rPr>
        <w:t>ата</w:t>
      </w:r>
      <w:r w:rsidRPr="00B56440">
        <w:rPr>
          <w:rFonts w:ascii="Times New Roman" w:hAnsi="Times New Roman"/>
          <w:color w:val="000000"/>
          <w:sz w:val="24"/>
          <w:szCs w:val="24"/>
          <w:lang w:val="en-US"/>
        </w:rPr>
        <w:t xml:space="preserve"> от участника</w:t>
      </w:r>
      <w:r w:rsidRPr="00B564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„Технология за изпълнение на дейностите включени в предмета на поръчката“ - тежест 30 точки.</w:t>
      </w:r>
    </w:p>
    <w:p w:rsidR="002C02A0" w:rsidRPr="00A14F4E" w:rsidRDefault="002C02A0" w:rsidP="002C02A0">
      <w:pPr>
        <w:spacing w:before="60" w:after="6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526B6">
        <w:rPr>
          <w:rFonts w:ascii="Times New Roman" w:hAnsi="Times New Roman"/>
          <w:color w:val="000000"/>
          <w:sz w:val="24"/>
          <w:szCs w:val="24"/>
          <w:lang w:eastAsia="bg-BG"/>
        </w:rPr>
        <w:t>Оценката по</w:t>
      </w:r>
      <w:r w:rsidRPr="00A14F4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този</w:t>
      </w:r>
      <w:r w:rsidRPr="006526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показател </w:t>
      </w:r>
      <w:r w:rsidRPr="00A14F4E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6526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 извършва </w:t>
      </w:r>
      <w:r w:rsidRPr="00A14F4E">
        <w:rPr>
          <w:rFonts w:ascii="Times New Roman" w:hAnsi="Times New Roman"/>
          <w:color w:val="000000"/>
          <w:sz w:val="24"/>
          <w:szCs w:val="24"/>
          <w:lang w:eastAsia="bg-BG"/>
        </w:rPr>
        <w:t>като мотивирана оценка на комисията, с прилагане на оценителната скала, с максимална оценка 30 точки.</w:t>
      </w:r>
    </w:p>
    <w:p w:rsidR="002C02A0" w:rsidRPr="00A14F4E" w:rsidRDefault="002C02A0" w:rsidP="002C02A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4F4E">
        <w:rPr>
          <w:rFonts w:ascii="Times New Roman" w:eastAsia="Times New Roman" w:hAnsi="Times New Roman"/>
          <w:sz w:val="24"/>
          <w:szCs w:val="24"/>
          <w:lang w:eastAsia="bg-BG"/>
        </w:rPr>
        <w:t>Точките по елементите на показателя ще бъдат присъждани от оценителна комисия, назначена от Възложителя по експертна мотивирана оценка, на съдържанието в Приложение – „Технология за изпълнение на дейностите включени в предмета на поръчката”.</w:t>
      </w:r>
    </w:p>
    <w:p w:rsidR="002C02A0" w:rsidRPr="00A14F4E" w:rsidRDefault="002C02A0" w:rsidP="002C02A0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A14F4E">
        <w:rPr>
          <w:rFonts w:ascii="Times New Roman" w:hAnsi="Times New Roman"/>
          <w:color w:val="000000"/>
          <w:sz w:val="24"/>
          <w:szCs w:val="24"/>
        </w:rPr>
        <w:t>Оценката по показателя се формира на базата на описаното от участниците в Техническото им предложение:</w:t>
      </w:r>
    </w:p>
    <w:p w:rsidR="002C02A0" w:rsidRPr="00A14F4E" w:rsidRDefault="002C02A0" w:rsidP="002C02A0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4F4E">
        <w:rPr>
          <w:rFonts w:ascii="Times New Roman" w:eastAsia="Times New Roman" w:hAnsi="Times New Roman"/>
          <w:sz w:val="24"/>
          <w:szCs w:val="24"/>
          <w:lang w:eastAsia="bg-BG"/>
        </w:rPr>
        <w:t>Описание на  изпълнението на отделните видове дейности, съгласно Техническата спецификация;</w:t>
      </w:r>
    </w:p>
    <w:p w:rsidR="002C02A0" w:rsidRPr="00A14F4E" w:rsidRDefault="002C02A0" w:rsidP="002C02A0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4F4E">
        <w:rPr>
          <w:rFonts w:ascii="Times New Roman" w:eastAsia="Times New Roman" w:hAnsi="Times New Roman"/>
          <w:sz w:val="24"/>
          <w:szCs w:val="24"/>
          <w:lang w:eastAsia="bg-BG"/>
        </w:rPr>
        <w:t xml:space="preserve">Описание на организацията  на работата на екипа по изпълнение на дейностите включени в предмета на поръчката, разпределение на човешките и технически ресурси. </w:t>
      </w:r>
    </w:p>
    <w:p w:rsidR="002C02A0" w:rsidRPr="00A14F4E" w:rsidRDefault="002C02A0" w:rsidP="002C02A0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4F4E">
        <w:rPr>
          <w:rFonts w:ascii="Times New Roman" w:eastAsia="Times New Roman" w:hAnsi="Times New Roman"/>
          <w:sz w:val="24"/>
          <w:szCs w:val="24"/>
          <w:lang w:eastAsia="bg-BG"/>
        </w:rPr>
        <w:t>Описание на начина на комуникация с Възложителя, координация и съгласуване на дейностите, които участникът счита за важни с цел  качествено и  срочно изпълнение на възложените услуги.</w:t>
      </w:r>
    </w:p>
    <w:p w:rsidR="002C02A0" w:rsidRPr="002914E4" w:rsidRDefault="002C02A0" w:rsidP="002C02A0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4F4E">
        <w:rPr>
          <w:rFonts w:ascii="Times New Roman" w:hAnsi="Times New Roman"/>
          <w:sz w:val="24"/>
          <w:szCs w:val="24"/>
          <w:lang w:val="ru-RU"/>
        </w:rPr>
        <w:t>Предложени от участника  срокове за действие  при възлагане на  конкретни заявки от страна на Възложителя.</w:t>
      </w:r>
    </w:p>
    <w:p w:rsidR="002914E4" w:rsidRPr="009C7EC8" w:rsidRDefault="002914E4" w:rsidP="002C02A0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02A0" w:rsidRPr="009C7EC8" w:rsidRDefault="002C02A0" w:rsidP="002914E4">
      <w:pPr>
        <w:autoSpaceDE w:val="0"/>
        <w:autoSpaceDN w:val="0"/>
        <w:adjustRightInd w:val="0"/>
        <w:spacing w:after="240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14F4E">
        <w:rPr>
          <w:rFonts w:ascii="Times New Roman" w:hAnsi="Times New Roman"/>
          <w:color w:val="000000"/>
          <w:sz w:val="24"/>
          <w:szCs w:val="24"/>
        </w:rPr>
        <w:t>Оценката по горепосочения показател се извършва съгласно следните критерии за постигната степен на съответствие с изискванията на възложителя:</w:t>
      </w: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9"/>
        <w:gridCol w:w="1842"/>
      </w:tblGrid>
      <w:tr w:rsidR="002C02A0" w:rsidRPr="00B56440" w:rsidTr="00E00514">
        <w:tc>
          <w:tcPr>
            <w:tcW w:w="7539" w:type="dxa"/>
            <w:shd w:val="clear" w:color="auto" w:fill="8DB3E2"/>
            <w:vAlign w:val="center"/>
          </w:tcPr>
          <w:p w:rsidR="002C02A0" w:rsidRPr="00B56440" w:rsidRDefault="002C02A0" w:rsidP="00B564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440">
              <w:rPr>
                <w:rFonts w:ascii="Times New Roman" w:hAnsi="Times New Roman"/>
                <w:b/>
                <w:sz w:val="24"/>
                <w:szCs w:val="24"/>
              </w:rPr>
              <w:t>Показател</w:t>
            </w:r>
            <w:r w:rsidR="00B56440" w:rsidRPr="00B56440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B56440">
              <w:rPr>
                <w:rFonts w:ascii="Times New Roman" w:hAnsi="Times New Roman"/>
                <w:b/>
                <w:sz w:val="24"/>
                <w:szCs w:val="24"/>
              </w:rPr>
              <w:t>: „Технология за изпълнение на дейностите</w:t>
            </w:r>
            <w:r w:rsidR="00B56440" w:rsidRPr="00B564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6440">
              <w:rPr>
                <w:rFonts w:ascii="Times New Roman" w:hAnsi="Times New Roman"/>
                <w:b/>
                <w:sz w:val="24"/>
                <w:szCs w:val="24"/>
              </w:rPr>
              <w:t xml:space="preserve"> включени в предмета на поръчката ”</w:t>
            </w:r>
          </w:p>
        </w:tc>
        <w:tc>
          <w:tcPr>
            <w:tcW w:w="1842" w:type="dxa"/>
            <w:shd w:val="clear" w:color="auto" w:fill="8DB3E2"/>
            <w:vAlign w:val="center"/>
          </w:tcPr>
          <w:p w:rsidR="002C02A0" w:rsidRPr="00B56440" w:rsidRDefault="002C02A0" w:rsidP="00B564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440">
              <w:rPr>
                <w:rFonts w:ascii="Times New Roman" w:hAnsi="Times New Roman"/>
                <w:b/>
                <w:sz w:val="24"/>
                <w:szCs w:val="24"/>
              </w:rPr>
              <w:t>Oценка</w:t>
            </w:r>
          </w:p>
          <w:p w:rsidR="002C02A0" w:rsidRPr="00B56440" w:rsidRDefault="002C02A0" w:rsidP="00B564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440">
              <w:rPr>
                <w:rFonts w:ascii="Times New Roman" w:hAnsi="Times New Roman"/>
                <w:b/>
                <w:sz w:val="24"/>
                <w:szCs w:val="24"/>
              </w:rPr>
              <w:t>(Точки)</w:t>
            </w:r>
          </w:p>
        </w:tc>
      </w:tr>
      <w:tr w:rsidR="002C02A0" w:rsidRPr="00A14F4E" w:rsidTr="00E00514">
        <w:tc>
          <w:tcPr>
            <w:tcW w:w="7539" w:type="dxa"/>
          </w:tcPr>
          <w:p w:rsidR="002C02A0" w:rsidRPr="00A14F4E" w:rsidRDefault="002C02A0" w:rsidP="00E005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>В техническото си предложение участникът е предложил организация за изпълнение на дейностите включени в предмета на поръчката</w:t>
            </w:r>
            <w:r w:rsidR="00B5644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осигуряваща минималните изисквания на възложителя посочени в Техническата спецификация.</w:t>
            </w:r>
          </w:p>
          <w:p w:rsidR="002C02A0" w:rsidRPr="00A14F4E" w:rsidRDefault="002C02A0" w:rsidP="00E005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>Участникът е предложил организация на работата на екипа,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като е посочил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разпредел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отговорностите и дейностите между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техническите ръководители и работниците за всяка една от манипулациите /дейностите/ и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начини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осъществява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на комуникация с Възложителя, к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>оординация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съгласуване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дейностите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>руги организационни аспекти, които са необходими за качествено и срочно изпълнение на възложените видове работи.</w:t>
            </w:r>
          </w:p>
          <w:p w:rsidR="002C02A0" w:rsidRPr="00A14F4E" w:rsidRDefault="002C02A0" w:rsidP="00E005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Участникът е представил срокове за действие при възлагане на конкретни заявки от страна на Възложителя</w:t>
            </w:r>
            <w:r w:rsidRPr="00A14F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>както и е обосновал същите.</w:t>
            </w:r>
          </w:p>
        </w:tc>
        <w:tc>
          <w:tcPr>
            <w:tcW w:w="1842" w:type="dxa"/>
            <w:vAlign w:val="center"/>
          </w:tcPr>
          <w:p w:rsidR="002C02A0" w:rsidRPr="00A14F4E" w:rsidRDefault="002C02A0" w:rsidP="00E005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4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C02A0" w:rsidRPr="00A14F4E" w:rsidTr="00E00514">
        <w:tc>
          <w:tcPr>
            <w:tcW w:w="7539" w:type="dxa"/>
            <w:vAlign w:val="center"/>
          </w:tcPr>
          <w:p w:rsidR="002C02A0" w:rsidRPr="00A14F4E" w:rsidRDefault="002C02A0" w:rsidP="00E005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4F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техническото предложение е в сила поне едно от следните обстоятелства:</w:t>
            </w:r>
          </w:p>
          <w:p w:rsidR="002C02A0" w:rsidRPr="00A14F4E" w:rsidRDefault="002C02A0" w:rsidP="00E005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93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>В техническото си предложение участникът е описал организацията за изпълнение на дейностите включени в предмета на поръчката, но са налице несъществени пропуски.</w:t>
            </w:r>
          </w:p>
          <w:p w:rsidR="002C02A0" w:rsidRDefault="002C02A0" w:rsidP="00E005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Участникът е предложил организация на работата на екипа, 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е посочил 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>как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разпредел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отговорностите и дейностите между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техническите ръководители и работниците за всяка една от манипулациите /дейностите/.</w:t>
            </w:r>
          </w:p>
          <w:p w:rsidR="002C02A0" w:rsidRPr="00A14F4E" w:rsidRDefault="002C02A0" w:rsidP="00E005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>Участникът е предложил срокове за действие при възлагане на конкретни заявки от страна на Възложителя, но не е обезпечил същите с разпределението на човешките ресусрси за изпълнението им.</w:t>
            </w:r>
          </w:p>
        </w:tc>
        <w:tc>
          <w:tcPr>
            <w:tcW w:w="1842" w:type="dxa"/>
            <w:vAlign w:val="center"/>
          </w:tcPr>
          <w:p w:rsidR="002C02A0" w:rsidRPr="00A14F4E" w:rsidRDefault="002C02A0" w:rsidP="00E005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4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C02A0" w:rsidRPr="00A14F4E" w:rsidTr="00E00514">
        <w:tc>
          <w:tcPr>
            <w:tcW w:w="7539" w:type="dxa"/>
            <w:vAlign w:val="center"/>
          </w:tcPr>
          <w:p w:rsidR="002C02A0" w:rsidRPr="00A14F4E" w:rsidRDefault="002C02A0" w:rsidP="00E005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4F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техническото предложение е в сила поне едно от следните обстоятелства:</w:t>
            </w:r>
          </w:p>
          <w:p w:rsidR="002C02A0" w:rsidRPr="00A14F4E" w:rsidRDefault="002C02A0" w:rsidP="00E00514">
            <w:pPr>
              <w:tabs>
                <w:tab w:val="left" w:pos="20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14F4E">
              <w:rPr>
                <w:rFonts w:ascii="Times New Roman" w:hAnsi="Times New Roman"/>
                <w:sz w:val="24"/>
                <w:szCs w:val="24"/>
              </w:rPr>
              <w:t xml:space="preserve">В техническото си предложение участникът е предложил организация за изпълнение на дейностите включени в предмета на поръчката схематично и непълно.  </w:t>
            </w:r>
          </w:p>
          <w:p w:rsidR="002C02A0" w:rsidRPr="00A14F4E" w:rsidRDefault="002C02A0" w:rsidP="00E00514">
            <w:pPr>
              <w:tabs>
                <w:tab w:val="left" w:pos="20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14F4E">
              <w:rPr>
                <w:rFonts w:ascii="Times New Roman" w:hAnsi="Times New Roman"/>
                <w:sz w:val="24"/>
                <w:szCs w:val="24"/>
              </w:rPr>
              <w:t>Участникът е предложил организация на работата на екипа,  но само е маркирал  как ще  се разпределят  отговорностите и дейно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стите </w:t>
            </w:r>
            <w:r w:rsidRPr="00A1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техническите ръководители и работниците за всяка една от манипулациите /дейностите/</w:t>
            </w:r>
            <w:r w:rsidRPr="00A14F4E">
              <w:rPr>
                <w:rFonts w:ascii="Times New Roman" w:hAnsi="Times New Roman"/>
                <w:sz w:val="24"/>
                <w:szCs w:val="24"/>
              </w:rPr>
              <w:t xml:space="preserve"> и начините  на осъществяване на комуникация с Възложителя. </w:t>
            </w:r>
          </w:p>
          <w:p w:rsidR="002C02A0" w:rsidRPr="00A14F4E" w:rsidRDefault="002C02A0" w:rsidP="00E00514">
            <w:pPr>
              <w:tabs>
                <w:tab w:val="left" w:pos="20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14F4E">
              <w:rPr>
                <w:rFonts w:ascii="Times New Roman" w:hAnsi="Times New Roman"/>
                <w:sz w:val="24"/>
                <w:szCs w:val="24"/>
              </w:rPr>
              <w:t>Участникът е предложил срокове за действие при възлагане на конкретни заявки от страна на Възложителя, само като продължителност без да ги обвърже с разполагаемите ресурси за изпълнението им.</w:t>
            </w:r>
          </w:p>
        </w:tc>
        <w:tc>
          <w:tcPr>
            <w:tcW w:w="1842" w:type="dxa"/>
            <w:vAlign w:val="center"/>
          </w:tcPr>
          <w:p w:rsidR="002C02A0" w:rsidRPr="00A14F4E" w:rsidRDefault="002C02A0" w:rsidP="00E005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4F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1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2C02A0" w:rsidRPr="00902F92" w:rsidRDefault="002C02A0" w:rsidP="002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C02A0" w:rsidRPr="00C15AB1" w:rsidRDefault="002C02A0" w:rsidP="002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15AB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За целите на настоящата методика, използваните в този раздел определения следва да се тълкуват, както следва: </w:t>
      </w:r>
    </w:p>
    <w:p w:rsidR="002C02A0" w:rsidRPr="00C15AB1" w:rsidRDefault="002C02A0" w:rsidP="002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C02A0" w:rsidRPr="00C15AB1" w:rsidRDefault="002C02A0" w:rsidP="002C02A0">
      <w:pPr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15AB1">
        <w:rPr>
          <w:rFonts w:ascii="Times New Roman" w:hAnsi="Times New Roman"/>
          <w:b/>
          <w:i/>
          <w:color w:val="000000"/>
          <w:sz w:val="24"/>
          <w:szCs w:val="24"/>
        </w:rPr>
        <w:t xml:space="preserve">Ясно/конкретно/изчерпателно </w:t>
      </w:r>
      <w:r w:rsidRPr="00C15AB1">
        <w:rPr>
          <w:rFonts w:ascii="Times New Roman" w:hAnsi="Times New Roman"/>
          <w:i/>
          <w:color w:val="000000"/>
          <w:sz w:val="24"/>
          <w:szCs w:val="24"/>
        </w:rPr>
        <w:t>- следва да се разбира изброяване, което недвусмислено посочва конкретния етап, конкретния вид дейност по начин, по който същият да бъде индивидуализиран сред останалите предвидени етапи/съответно останалите предвидени видове дейности.</w:t>
      </w:r>
    </w:p>
    <w:p w:rsidR="002C02A0" w:rsidRPr="00C15AB1" w:rsidRDefault="002C02A0" w:rsidP="002C02A0">
      <w:pPr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15AB1">
        <w:rPr>
          <w:rFonts w:ascii="Times New Roman" w:hAnsi="Times New Roman"/>
          <w:b/>
          <w:i/>
          <w:color w:val="000000"/>
          <w:sz w:val="24"/>
          <w:szCs w:val="24"/>
        </w:rPr>
        <w:t>Подробно/задълбочено/детайлно</w:t>
      </w:r>
      <w:r w:rsidRPr="00C15AB1">
        <w:rPr>
          <w:rFonts w:ascii="Times New Roman" w:hAnsi="Times New Roman"/>
          <w:i/>
          <w:color w:val="000000"/>
          <w:sz w:val="24"/>
          <w:szCs w:val="24"/>
        </w:rPr>
        <w:t xml:space="preserve"> - описанието, което освен, че съдържа отделни етапи, видове дейности, не се ограничава единствено до тяхното просто изброяване, а са добавени допълнителни поясняващи текстове, свързани с обясняване на последователността и начина на изпълнение или други факти, имащи отношение към повишаване качеството на изпълнение на поръчката и надграждане над предвидените технически спецификации и изисквания</w:t>
      </w:r>
    </w:p>
    <w:p w:rsidR="002C02A0" w:rsidRPr="00C15AB1" w:rsidRDefault="002C02A0" w:rsidP="002C02A0">
      <w:pPr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15AB1">
        <w:rPr>
          <w:rFonts w:ascii="Times New Roman" w:hAnsi="Times New Roman"/>
          <w:b/>
          <w:i/>
          <w:color w:val="000000"/>
          <w:sz w:val="24"/>
          <w:szCs w:val="24"/>
        </w:rPr>
        <w:t>Общо/бланкетно</w:t>
      </w:r>
      <w:r w:rsidRPr="00C15AB1">
        <w:rPr>
          <w:rFonts w:ascii="Times New Roman" w:hAnsi="Times New Roman"/>
          <w:i/>
          <w:color w:val="000000"/>
          <w:sz w:val="24"/>
          <w:szCs w:val="24"/>
        </w:rPr>
        <w:t xml:space="preserve"> - следва да се разбира изброяване, </w:t>
      </w:r>
      <w:r>
        <w:rPr>
          <w:rFonts w:ascii="Times New Roman" w:hAnsi="Times New Roman"/>
          <w:i/>
          <w:color w:val="000000"/>
          <w:sz w:val="24"/>
          <w:szCs w:val="24"/>
        </w:rPr>
        <w:t>което посочва етап, вид дейност</w:t>
      </w:r>
      <w:r w:rsidRPr="00C15AB1">
        <w:rPr>
          <w:rFonts w:ascii="Times New Roman" w:hAnsi="Times New Roman"/>
          <w:i/>
          <w:color w:val="000000"/>
          <w:sz w:val="24"/>
          <w:szCs w:val="24"/>
        </w:rPr>
        <w:t>, чрез позоваване на общоизвестни методи, факти и/или обстоятелства, без същите да са посочени като поредица от взаимосвързани конкретни действия и/или се преповтаря техническата спецификация, съдържа общ ангажимент, че е създадена организация за изпълнение на поръчката.</w:t>
      </w:r>
    </w:p>
    <w:p w:rsidR="002C02A0" w:rsidRPr="00C15AB1" w:rsidRDefault="002C02A0" w:rsidP="002C02A0">
      <w:pPr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15AB1">
        <w:rPr>
          <w:rFonts w:ascii="Times New Roman" w:hAnsi="Times New Roman"/>
          <w:b/>
          <w:i/>
          <w:color w:val="000000"/>
          <w:sz w:val="24"/>
          <w:szCs w:val="24"/>
        </w:rPr>
        <w:t>Значим/реален/съществен</w:t>
      </w:r>
      <w:r w:rsidRPr="00C15AB1">
        <w:rPr>
          <w:rFonts w:ascii="Times New Roman" w:hAnsi="Times New Roman"/>
          <w:i/>
          <w:color w:val="000000"/>
          <w:sz w:val="24"/>
          <w:szCs w:val="24"/>
        </w:rPr>
        <w:t xml:space="preserve"> – следва да се разбира посочването и отчитането от участника на въздействия, които са действителни и обективно съществуващи, както и такива имащи голяма стойност, важност и носещи съдържание.</w:t>
      </w:r>
    </w:p>
    <w:p w:rsidR="002C02A0" w:rsidRPr="00C15AB1" w:rsidRDefault="002C02A0" w:rsidP="002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5AB1">
        <w:rPr>
          <w:rFonts w:ascii="Times New Roman" w:hAnsi="Times New Roman"/>
          <w:b/>
          <w:i/>
          <w:color w:val="000000"/>
          <w:sz w:val="24"/>
          <w:szCs w:val="24"/>
        </w:rPr>
        <w:t>Технически предложения, които са непълни и не съдържат изискуемите реквизити съгласно настоящата методика за оценка и техническата спецификация към документацията за участие в процедурата</w:t>
      </w:r>
      <w:r w:rsidRPr="00C15AB1">
        <w:rPr>
          <w:rFonts w:ascii="Times New Roman" w:hAnsi="Times New Roman"/>
          <w:b/>
          <w:i/>
          <w:iCs/>
          <w:color w:val="000000"/>
          <w:sz w:val="24"/>
          <w:szCs w:val="24"/>
        </w:rPr>
        <w:t>, или липсва съответствие с действащата нормативна уредба, изискванията на възложителя, или не са отчетени съществени фактори и ключови моменти ще бъдат отстранени от участие.</w:t>
      </w:r>
    </w:p>
    <w:p w:rsidR="002C02A0" w:rsidRPr="0055355F" w:rsidRDefault="002C02A0" w:rsidP="002C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C02A0" w:rsidRPr="00591BA7" w:rsidRDefault="002C02A0" w:rsidP="002C02A0">
      <w:pPr>
        <w:tabs>
          <w:tab w:val="left" w:pos="540"/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BA7">
        <w:rPr>
          <w:rFonts w:ascii="Times New Roman" w:eastAsia="Calibri" w:hAnsi="Times New Roman" w:cs="Times New Roman"/>
          <w:b/>
          <w:sz w:val="24"/>
          <w:szCs w:val="24"/>
        </w:rPr>
        <w:t>Крайно класиране на Участниците:</w:t>
      </w:r>
    </w:p>
    <w:p w:rsidR="002C02A0" w:rsidRPr="00591BA7" w:rsidRDefault="002C02A0" w:rsidP="002C02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591BA7">
        <w:rPr>
          <w:rFonts w:ascii="Times New Roman" w:eastAsia="Calibri" w:hAnsi="Times New Roman" w:cs="Times New Roman"/>
          <w:sz w:val="24"/>
          <w:szCs w:val="24"/>
          <w:lang w:eastAsia="fr-FR"/>
        </w:rPr>
        <w:t>Крайното класиране на участниците се извършва по броя на точките, получени за всеки участник. На първо място се класира участникът, получил най-висока комплексна оценка.</w:t>
      </w:r>
    </w:p>
    <w:p w:rsidR="002C02A0" w:rsidRPr="00591BA7" w:rsidRDefault="002C02A0" w:rsidP="002C02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fr-FR"/>
        </w:rPr>
      </w:pPr>
      <w:r w:rsidRPr="00591BA7">
        <w:rPr>
          <w:rFonts w:ascii="Times New Roman" w:eastAsia="Calibri" w:hAnsi="Times New Roman" w:cs="Times New Roman"/>
          <w:bCs/>
          <w:iCs/>
          <w:sz w:val="24"/>
          <w:szCs w:val="24"/>
          <w:lang w:eastAsia="fr-FR"/>
        </w:rPr>
        <w:t>Комисията класира участниците по степента на съответствие на офертите с предварително обявените от възложителя условия.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2C02A0" w:rsidRPr="00591BA7" w:rsidRDefault="002C02A0" w:rsidP="002C02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fr-FR"/>
        </w:rPr>
      </w:pPr>
      <w:r w:rsidRPr="00591BA7">
        <w:rPr>
          <w:rFonts w:ascii="Times New Roman" w:eastAsia="Calibri" w:hAnsi="Times New Roman" w:cs="Times New Roman"/>
          <w:bCs/>
          <w:iCs/>
          <w:sz w:val="24"/>
          <w:szCs w:val="24"/>
          <w:lang w:eastAsia="fr-FR"/>
        </w:rPr>
        <w:t>1. по-ниска предложена цена;</w:t>
      </w:r>
    </w:p>
    <w:p w:rsidR="002C02A0" w:rsidRPr="00591BA7" w:rsidRDefault="002C02A0" w:rsidP="002C02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fr-FR"/>
        </w:rPr>
      </w:pPr>
      <w:r w:rsidRPr="00591BA7">
        <w:rPr>
          <w:rFonts w:ascii="Times New Roman" w:eastAsia="Calibri" w:hAnsi="Times New Roman" w:cs="Times New Roman"/>
          <w:bCs/>
          <w:iCs/>
          <w:sz w:val="24"/>
          <w:szCs w:val="24"/>
          <w:lang w:eastAsia="fr-FR"/>
        </w:rPr>
        <w:t>2. по-изгодно предложение по показатели извън посочените по т.1, сравнени в низходящ ред съобразно тяхната тежест.</w:t>
      </w:r>
    </w:p>
    <w:p w:rsidR="002C02A0" w:rsidRPr="0048280D" w:rsidRDefault="002C02A0" w:rsidP="002C02A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C02A0" w:rsidRPr="0048280D" w:rsidRDefault="002C02A0" w:rsidP="0048280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C02A0" w:rsidRPr="004828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51" w:rsidRDefault="00251C51" w:rsidP="009829C7">
      <w:pPr>
        <w:spacing w:after="0" w:line="240" w:lineRule="auto"/>
      </w:pPr>
      <w:r>
        <w:separator/>
      </w:r>
    </w:p>
  </w:endnote>
  <w:endnote w:type="continuationSeparator" w:id="0">
    <w:p w:rsidR="00251C51" w:rsidRDefault="00251C51" w:rsidP="0098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085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5DA" w:rsidRDefault="001F05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C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5DA" w:rsidRDefault="001F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51" w:rsidRDefault="00251C51" w:rsidP="009829C7">
      <w:pPr>
        <w:spacing w:after="0" w:line="240" w:lineRule="auto"/>
      </w:pPr>
      <w:r>
        <w:separator/>
      </w:r>
    </w:p>
  </w:footnote>
  <w:footnote w:type="continuationSeparator" w:id="0">
    <w:p w:rsidR="00251C51" w:rsidRDefault="00251C51" w:rsidP="0098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028"/>
    <w:multiLevelType w:val="hybridMultilevel"/>
    <w:tmpl w:val="97AAE18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621F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B9D"/>
    <w:multiLevelType w:val="hybridMultilevel"/>
    <w:tmpl w:val="DA3CB63E"/>
    <w:lvl w:ilvl="0" w:tplc="0BAAE5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5B4C"/>
    <w:multiLevelType w:val="hybridMultilevel"/>
    <w:tmpl w:val="EE68C182"/>
    <w:lvl w:ilvl="0" w:tplc="4DD0AAFE">
      <w:start w:val="1"/>
      <w:numFmt w:val="decimal"/>
      <w:lvlText w:val="%1."/>
      <w:lvlJc w:val="left"/>
      <w:pPr>
        <w:ind w:left="1653" w:hanging="945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FE60ED"/>
    <w:multiLevelType w:val="hybridMultilevel"/>
    <w:tmpl w:val="4B207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E1E42"/>
    <w:multiLevelType w:val="hybridMultilevel"/>
    <w:tmpl w:val="780A956E"/>
    <w:lvl w:ilvl="0" w:tplc="4A16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C25F7"/>
    <w:multiLevelType w:val="hybridMultilevel"/>
    <w:tmpl w:val="7CAC4BA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70"/>
    <w:rsid w:val="0000389C"/>
    <w:rsid w:val="00014836"/>
    <w:rsid w:val="0001739E"/>
    <w:rsid w:val="000F649C"/>
    <w:rsid w:val="00102314"/>
    <w:rsid w:val="00183798"/>
    <w:rsid w:val="001F05DA"/>
    <w:rsid w:val="00221E34"/>
    <w:rsid w:val="00251C51"/>
    <w:rsid w:val="002914E4"/>
    <w:rsid w:val="002C02A0"/>
    <w:rsid w:val="00321539"/>
    <w:rsid w:val="003720E4"/>
    <w:rsid w:val="003E2FE6"/>
    <w:rsid w:val="0048280D"/>
    <w:rsid w:val="004B37B1"/>
    <w:rsid w:val="004B5874"/>
    <w:rsid w:val="004C23EA"/>
    <w:rsid w:val="005F2C33"/>
    <w:rsid w:val="00711A79"/>
    <w:rsid w:val="007353EF"/>
    <w:rsid w:val="0073675C"/>
    <w:rsid w:val="00840406"/>
    <w:rsid w:val="00845365"/>
    <w:rsid w:val="00865A48"/>
    <w:rsid w:val="008E50DC"/>
    <w:rsid w:val="00953ABC"/>
    <w:rsid w:val="009829C7"/>
    <w:rsid w:val="00A26ADB"/>
    <w:rsid w:val="00A94CB9"/>
    <w:rsid w:val="00AF5A29"/>
    <w:rsid w:val="00B0302D"/>
    <w:rsid w:val="00B368D4"/>
    <w:rsid w:val="00B56440"/>
    <w:rsid w:val="00BB4534"/>
    <w:rsid w:val="00C0389A"/>
    <w:rsid w:val="00CE7C90"/>
    <w:rsid w:val="00CF6870"/>
    <w:rsid w:val="00D4055A"/>
    <w:rsid w:val="00D576E3"/>
    <w:rsid w:val="00DB59A4"/>
    <w:rsid w:val="00E411B1"/>
    <w:rsid w:val="00E463AF"/>
    <w:rsid w:val="00F37E38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7F874-8504-4C82-8854-EBC89B14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C7"/>
  </w:style>
  <w:style w:type="paragraph" w:styleId="Footer">
    <w:name w:val="footer"/>
    <w:basedOn w:val="Normal"/>
    <w:link w:val="FooterChar"/>
    <w:uiPriority w:val="99"/>
    <w:unhideWhenUsed/>
    <w:rsid w:val="0098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C7"/>
  </w:style>
  <w:style w:type="paragraph" w:styleId="ListParagraph">
    <w:name w:val="List Paragraph"/>
    <w:basedOn w:val="Normal"/>
    <w:uiPriority w:val="34"/>
    <w:qFormat/>
    <w:rsid w:val="00D4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0ABD-7EB8-4640-BA1B-2C242450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Aneliya Georgieva</dc:creator>
  <cp:lastModifiedBy>Galya Mincheva</cp:lastModifiedBy>
  <cp:revision>2</cp:revision>
  <dcterms:created xsi:type="dcterms:W3CDTF">2020-05-26T08:28:00Z</dcterms:created>
  <dcterms:modified xsi:type="dcterms:W3CDTF">2020-05-26T08:28:00Z</dcterms:modified>
</cp:coreProperties>
</file>